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52622FAD" w:rsidR="00B123FF" w:rsidRPr="00455A3C" w:rsidRDefault="00C67B70" w:rsidP="00F60A53">
      <w:pPr>
        <w:pStyle w:val="F2-zkladn"/>
        <w:spacing w:line="276" w:lineRule="auto"/>
        <w:rPr>
          <w:b/>
          <w:sz w:val="28"/>
          <w:szCs w:val="28"/>
        </w:rPr>
      </w:pPr>
      <w:bookmarkStart w:id="0" w:name="_Hlk177547361"/>
      <w:bookmarkEnd w:id="0"/>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DD5E606"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D7B82">
        <w:t>18</w:t>
      </w:r>
      <w:r w:rsidR="005420B4" w:rsidRPr="00893890">
        <w:t>.</w:t>
      </w:r>
      <w:r w:rsidR="00296EFF">
        <w:t xml:space="preserve"> </w:t>
      </w:r>
      <w:r w:rsidR="009727AA">
        <w:t>září</w:t>
      </w:r>
      <w:r w:rsidR="00EB4F26">
        <w:t xml:space="preserve"> </w:t>
      </w:r>
      <w:r w:rsidR="00A30105" w:rsidRPr="00893890">
        <w:t>20</w:t>
      </w:r>
      <w:r w:rsidR="00A7414F" w:rsidRPr="00893890">
        <w:t>2</w:t>
      </w:r>
      <w:r w:rsidR="00CB6DEB">
        <w:t>4</w:t>
      </w:r>
    </w:p>
    <w:p w14:paraId="048587CA" w14:textId="0A3930DE" w:rsidR="002027ED" w:rsidRPr="002027ED" w:rsidRDefault="002027ED" w:rsidP="002027ED">
      <w:pPr>
        <w:pStyle w:val="F2-zkladn"/>
        <w:tabs>
          <w:tab w:val="right" w:pos="9070"/>
        </w:tabs>
        <w:spacing w:line="276" w:lineRule="auto"/>
      </w:pPr>
    </w:p>
    <w:p w14:paraId="11B6F5ED" w14:textId="22015CC3"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 </w:t>
      </w:r>
      <w:r w:rsidR="009D7B82">
        <w:rPr>
          <w:rStyle w:val="normaltextrun"/>
          <w:rFonts w:ascii="Arial" w:hAnsi="Arial" w:cs="Arial"/>
          <w:b/>
          <w:bCs/>
          <w:color w:val="000000"/>
          <w:sz w:val="28"/>
          <w:szCs w:val="28"/>
          <w:lang w:val="cs-CZ"/>
        </w:rPr>
        <w:t>Snižující se korelace naznačují, že dluhopisy mohou opět plnit zajišťovací role</w:t>
      </w:r>
    </w:p>
    <w:p w14:paraId="42A5E92F" w14:textId="4B625D21" w:rsidR="0025641E" w:rsidRDefault="009D7B82"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Korelace mezi akciemi a dluhopisy je negativní. Důležité je, ale v jakém kontextu.</w:t>
      </w:r>
    </w:p>
    <w:p w14:paraId="500A178E" w14:textId="65D264EE" w:rsidR="00294A46" w:rsidRDefault="009D7B82" w:rsidP="00294A46">
      <w:pPr>
        <w:pStyle w:val="FIL3Body"/>
        <w:spacing w:line="360" w:lineRule="auto"/>
        <w:jc w:val="both"/>
        <w:rPr>
          <w:rFonts w:cs="Arial"/>
          <w:color w:val="20242B"/>
          <w:sz w:val="20"/>
          <w:szCs w:val="20"/>
          <w:shd w:val="clear" w:color="auto" w:fill="FFFFFF"/>
          <w:lang w:val="cs-CZ" w:eastAsia="cs-CZ"/>
        </w:rPr>
      </w:pPr>
      <w:r w:rsidRPr="00D6184E">
        <w:rPr>
          <w:noProof/>
        </w:rPr>
        <w:drawing>
          <wp:anchor distT="0" distB="0" distL="114300" distR="114300" simplePos="0" relativeHeight="251662336" behindDoc="0" locked="0" layoutInCell="1" allowOverlap="1" wp14:anchorId="3649B0D0" wp14:editId="6A3CCF58">
            <wp:simplePos x="0" y="0"/>
            <wp:positionH relativeFrom="margin">
              <wp:align>left</wp:align>
            </wp:positionH>
            <wp:positionV relativeFrom="paragraph">
              <wp:posOffset>1446530</wp:posOffset>
            </wp:positionV>
            <wp:extent cx="4465320" cy="4465320"/>
            <wp:effectExtent l="0" t="0" r="0" b="0"/>
            <wp:wrapTopAndBottom/>
            <wp:docPr id="979692864" name="Obrázek 4" descr="Falling correlations suggest bonds can once again perform hedging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lling correlations suggest bonds can once again perform hedging ro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5320" cy="446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7B70">
        <w:rPr>
          <w:rFonts w:cs="Arial"/>
          <w:color w:val="20242B"/>
          <w:sz w:val="20"/>
          <w:szCs w:val="20"/>
          <w:shd w:val="clear" w:color="auto" w:fill="FFFFFF"/>
          <w:lang w:val="cs-CZ" w:eastAsia="cs-CZ"/>
        </w:rPr>
        <w:br/>
      </w:r>
      <w:r w:rsidR="00243F5F">
        <w:rPr>
          <w:rFonts w:cs="Arial"/>
          <w:color w:val="20242B"/>
          <w:sz w:val="20"/>
          <w:szCs w:val="20"/>
          <w:shd w:val="clear" w:color="auto" w:fill="FFFFFF"/>
          <w:lang w:val="cs-CZ" w:eastAsia="cs-CZ"/>
        </w:rPr>
        <w:t>„</w:t>
      </w:r>
      <w:r w:rsidRPr="00243F5F">
        <w:rPr>
          <w:rFonts w:cs="Arial"/>
          <w:i/>
          <w:iCs/>
          <w:color w:val="20242B"/>
          <w:sz w:val="20"/>
          <w:szCs w:val="20"/>
          <w:shd w:val="clear" w:color="auto" w:fill="FFFFFF"/>
          <w:lang w:val="cs-CZ" w:eastAsia="cs-CZ"/>
        </w:rPr>
        <w:t>Povzbudivé znamení pro majitele dluhopisů: tříměsíční korelace mezi akciemi a dluhopisy se opět dostala do záporných hodnot. Připouštíme, že toto tu bylo nedávno, už v červenci 2023 byl mezi oběma třídami aktiv inverzní vztah. Nicméně to, jak investoři o této korelaci přemýšlejí, by se mělo řídit kontextem, a ten je nyní velmi odlišný</w:t>
      </w:r>
      <w:r w:rsidR="00243F5F">
        <w:rPr>
          <w:rFonts w:cs="Arial"/>
          <w:color w:val="20242B"/>
          <w:sz w:val="20"/>
          <w:szCs w:val="20"/>
          <w:shd w:val="clear" w:color="auto" w:fill="FFFFFF"/>
          <w:lang w:val="cs-CZ" w:eastAsia="cs-CZ"/>
        </w:rPr>
        <w:t>,“ říká</w:t>
      </w:r>
      <w:r w:rsidR="00243F5F" w:rsidRPr="002C5928">
        <w:rPr>
          <w:lang w:val="cs-CZ"/>
        </w:rPr>
        <w:t xml:space="preserve"> </w:t>
      </w:r>
      <w:r w:rsidR="00243F5F" w:rsidRPr="00243F5F">
        <w:rPr>
          <w:rFonts w:cs="Arial"/>
          <w:color w:val="20242B"/>
          <w:sz w:val="20"/>
          <w:szCs w:val="20"/>
          <w:shd w:val="clear" w:color="auto" w:fill="FFFFFF"/>
          <w:lang w:val="cs-CZ" w:eastAsia="cs-CZ"/>
        </w:rPr>
        <w:t xml:space="preserve">Ben </w:t>
      </w:r>
      <w:proofErr w:type="spellStart"/>
      <w:r w:rsidR="00243F5F" w:rsidRPr="00243F5F">
        <w:rPr>
          <w:rFonts w:cs="Arial"/>
          <w:color w:val="20242B"/>
          <w:sz w:val="20"/>
          <w:szCs w:val="20"/>
          <w:shd w:val="clear" w:color="auto" w:fill="FFFFFF"/>
          <w:lang w:val="cs-CZ" w:eastAsia="cs-CZ"/>
        </w:rPr>
        <w:t>Traynor</w:t>
      </w:r>
      <w:proofErr w:type="spellEnd"/>
      <w:r w:rsidR="00243F5F">
        <w:rPr>
          <w:rFonts w:cs="Arial"/>
          <w:color w:val="20242B"/>
          <w:sz w:val="20"/>
          <w:szCs w:val="20"/>
          <w:shd w:val="clear" w:color="auto" w:fill="FFFFFF"/>
          <w:lang w:val="cs-CZ" w:eastAsia="cs-CZ"/>
        </w:rPr>
        <w:t>, autor analýz ve společnosti Fidelity International.</w:t>
      </w:r>
    </w:p>
    <w:p w14:paraId="60BCA078" w14:textId="77777777" w:rsidR="00243F5F" w:rsidRDefault="00243F5F" w:rsidP="009D7B82">
      <w:pPr>
        <w:rPr>
          <w:color w:val="20242B"/>
          <w:shd w:val="clear" w:color="auto" w:fill="FFFFFF"/>
        </w:rPr>
      </w:pPr>
    </w:p>
    <w:p w14:paraId="3C3631D3" w14:textId="3F98B74B" w:rsidR="009D7B82" w:rsidRPr="009D7B82" w:rsidRDefault="009D7B82" w:rsidP="009D7B82">
      <w:pPr>
        <w:rPr>
          <w:color w:val="20242B"/>
          <w:shd w:val="clear" w:color="auto" w:fill="FFFFFF"/>
        </w:rPr>
      </w:pPr>
      <w:r w:rsidRPr="009D7B82">
        <w:rPr>
          <w:color w:val="20242B"/>
          <w:shd w:val="clear" w:color="auto" w:fill="FFFFFF"/>
        </w:rPr>
        <w:lastRenderedPageBreak/>
        <w:t>Federální rezervní systém řeší dvě povinnosti – stabilitu cen (prostřednictvím cílování inflace) a maximální zaměstnanost. Zatímco v posledních dvou letech šlo především o návrat inflace k cíli, nyní se pozornost přesouvá na růst. Růst ve Spojených státech zpomaluje, fiskální podpora z roku 2023 se mění v brzdu, spotřebitelé jsou stále opatrnější a trh práce má očividně klesající tendenci (navzdory tomu, co říká srpnová zpráva o zaměstnanosti).</w:t>
      </w:r>
    </w:p>
    <w:p w14:paraId="06222DD1" w14:textId="77777777" w:rsidR="009D7B82" w:rsidRPr="009D7B82" w:rsidRDefault="009D7B82" w:rsidP="009D7B82">
      <w:pPr>
        <w:rPr>
          <w:color w:val="20242B"/>
          <w:shd w:val="clear" w:color="auto" w:fill="FFFFFF"/>
        </w:rPr>
      </w:pPr>
      <w:r w:rsidRPr="009D7B82">
        <w:rPr>
          <w:color w:val="20242B"/>
          <w:shd w:val="clear" w:color="auto" w:fill="FFFFFF"/>
        </w:rPr>
        <w:t xml:space="preserve">Centrální banky a trhy si to uvědomují. Fed je připraven nabídnout měnově politická opatření a předseda Federálního rezervního systému </w:t>
      </w:r>
      <w:proofErr w:type="spellStart"/>
      <w:r w:rsidRPr="009D7B82">
        <w:rPr>
          <w:color w:val="20242B"/>
          <w:shd w:val="clear" w:color="auto" w:fill="FFFFFF"/>
        </w:rPr>
        <w:t>Powell</w:t>
      </w:r>
      <w:proofErr w:type="spellEnd"/>
      <w:r w:rsidRPr="009D7B82">
        <w:rPr>
          <w:color w:val="20242B"/>
          <w:shd w:val="clear" w:color="auto" w:fill="FFFFFF"/>
        </w:rPr>
        <w:t xml:space="preserve"> minulý měsíc ve svém projevu v Jackson Hole udal tón, když řekl: „Nastal čas pro přizpůsobení politiky. Směr, kterým se bude ubírat, je jasný a načasování a tempo snižování sazeb bude záviset na příchozích datech.“</w:t>
      </w:r>
    </w:p>
    <w:p w14:paraId="68446D4F" w14:textId="77777777" w:rsidR="009D7B82" w:rsidRPr="009D7B82" w:rsidRDefault="009D7B82" w:rsidP="009D7B82">
      <w:pPr>
        <w:rPr>
          <w:color w:val="20242B"/>
          <w:shd w:val="clear" w:color="auto" w:fill="FFFFFF"/>
        </w:rPr>
      </w:pPr>
      <w:r w:rsidRPr="009D7B82">
        <w:rPr>
          <w:color w:val="20242B"/>
          <w:shd w:val="clear" w:color="auto" w:fill="FFFFFF"/>
        </w:rPr>
        <w:t>S rostoucím důrazem na růst se korelace mezi dluhopisy a akciemi posouvá na normálnější (zápornou) úroveň, protože nižší růst sune ceny akcií níže a současně snižuje výnosy dluhopisů. Pro investory z této korelace vyplývá, že dluhopisy v portfoliích opět fungují jako zajištění.</w:t>
      </w:r>
    </w:p>
    <w:p w14:paraId="24226D5B" w14:textId="77777777" w:rsidR="009D7B82" w:rsidRPr="009D7B82" w:rsidRDefault="009D7B82" w:rsidP="009D7B82">
      <w:pPr>
        <w:rPr>
          <w:color w:val="20242B"/>
          <w:shd w:val="clear" w:color="auto" w:fill="FFFFFF"/>
        </w:rPr>
      </w:pPr>
      <w:r w:rsidRPr="009D7B82">
        <w:rPr>
          <w:color w:val="20242B"/>
          <w:shd w:val="clear" w:color="auto" w:fill="FFFFFF"/>
        </w:rPr>
        <w:t xml:space="preserve">Menší korelace mezi dluhopisy a akciemi je pro portfolio s více aktivy obecně výhodná, protože snižuje očekávanou volatilitu portfolia jako celku. Pokud je korelace záporná, pak by dluhopisy měly do určité míry kompenzovat negativní pohyby akcií. </w:t>
      </w:r>
    </w:p>
    <w:p w14:paraId="18B92AB6" w14:textId="64DEA54D" w:rsidR="00243F5F" w:rsidRDefault="00243F5F" w:rsidP="009D7B82">
      <w:pPr>
        <w:rPr>
          <w:color w:val="20242B"/>
          <w:shd w:val="clear" w:color="auto" w:fill="FFFFFF"/>
        </w:rPr>
      </w:pPr>
      <w:r w:rsidRPr="00243F5F">
        <w:rPr>
          <w:i/>
          <w:iCs/>
          <w:color w:val="20242B"/>
          <w:shd w:val="clear" w:color="auto" w:fill="FFFFFF"/>
        </w:rPr>
        <w:t>„</w:t>
      </w:r>
      <w:r w:rsidRPr="00243F5F">
        <w:rPr>
          <w:i/>
          <w:iCs/>
        </w:rPr>
        <w:t>V reálném světě to ale může být i jinak</w:t>
      </w:r>
      <w:r w:rsidR="009D7B82" w:rsidRPr="00243F5F">
        <w:rPr>
          <w:i/>
          <w:iCs/>
          <w:color w:val="20242B"/>
          <w:shd w:val="clear" w:color="auto" w:fill="FFFFFF"/>
        </w:rPr>
        <w:t xml:space="preserve">, a proto bychom měli být opatrní. Trh v současné době promítá do cen agresivnější cestu snižování úrokových sazeb </w:t>
      </w:r>
      <w:proofErr w:type="spellStart"/>
      <w:r w:rsidR="009D7B82" w:rsidRPr="00243F5F">
        <w:rPr>
          <w:i/>
          <w:iCs/>
          <w:color w:val="20242B"/>
          <w:shd w:val="clear" w:color="auto" w:fill="FFFFFF"/>
        </w:rPr>
        <w:t>Fedu</w:t>
      </w:r>
      <w:proofErr w:type="spellEnd"/>
      <w:r w:rsidR="009D7B82" w:rsidRPr="00243F5F">
        <w:rPr>
          <w:i/>
          <w:iCs/>
          <w:color w:val="20242B"/>
          <w:shd w:val="clear" w:color="auto" w:fill="FFFFFF"/>
        </w:rPr>
        <w:t xml:space="preserve">. Dluhopisy tak sice mohou být lepším zajištěním proti akciovým rizikům, než tomu bylo dříve, ale i tak s sebou nesou své vlastní riziko poklesu. Dluhopisy s delší splatností vypadají zvláště zranitelné vůči krátkodobým změnám cen aktiv, jež jdou proti trendu. Termínová prémie zůstává velmi stlačená, což v kontextu rozsáhlých emisí bude pro tyto dluhopisy pravděpodobně výzvou. Ačkoli v dlouhodobém horizontu jsme naklonění této třídě aktiv, nedávno jsme z důvodů zmíněných výše takticky </w:t>
      </w:r>
      <w:proofErr w:type="spellStart"/>
      <w:r w:rsidR="009D7B82" w:rsidRPr="00243F5F">
        <w:rPr>
          <w:i/>
          <w:iCs/>
          <w:color w:val="20242B"/>
          <w:shd w:val="clear" w:color="auto" w:fill="FFFFFF"/>
        </w:rPr>
        <w:t>podvážili</w:t>
      </w:r>
      <w:proofErr w:type="spellEnd"/>
      <w:r w:rsidR="009D7B82" w:rsidRPr="00243F5F">
        <w:rPr>
          <w:i/>
          <w:iCs/>
          <w:color w:val="20242B"/>
          <w:shd w:val="clear" w:color="auto" w:fill="FFFFFF"/>
        </w:rPr>
        <w:t xml:space="preserve"> státní dluhopisy</w:t>
      </w:r>
      <w:r w:rsidRPr="00243F5F">
        <w:rPr>
          <w:i/>
          <w:iCs/>
          <w:color w:val="20242B"/>
          <w:shd w:val="clear" w:color="auto" w:fill="FFFFFF"/>
        </w:rPr>
        <w:t>,“</w:t>
      </w:r>
      <w:r>
        <w:rPr>
          <w:color w:val="20242B"/>
          <w:shd w:val="clear" w:color="auto" w:fill="FFFFFF"/>
        </w:rPr>
        <w:t xml:space="preserve"> uzavírá Ben </w:t>
      </w:r>
      <w:proofErr w:type="spellStart"/>
      <w:r>
        <w:rPr>
          <w:color w:val="20242B"/>
          <w:shd w:val="clear" w:color="auto" w:fill="FFFFFF"/>
        </w:rPr>
        <w:t>Traynor</w:t>
      </w:r>
      <w:proofErr w:type="spellEnd"/>
      <w:r>
        <w:rPr>
          <w:color w:val="20242B"/>
          <w:shd w:val="clear" w:color="auto" w:fill="FFFFFF"/>
        </w:rPr>
        <w:t xml:space="preserve">.   </w:t>
      </w:r>
    </w:p>
    <w:p w14:paraId="3025231A" w14:textId="010ADC7C" w:rsidR="009D7B82" w:rsidRPr="009D7B82" w:rsidRDefault="009D7B82" w:rsidP="009D7B82">
      <w:pPr>
        <w:rPr>
          <w:color w:val="20242B"/>
          <w:shd w:val="clear" w:color="auto" w:fill="FFFFFF"/>
        </w:rPr>
      </w:pPr>
      <w:r>
        <w:rPr>
          <w:color w:val="20242B"/>
          <w:shd w:val="clear" w:color="auto" w:fill="FFFFFF"/>
        </w:rPr>
        <w:br/>
      </w:r>
    </w:p>
    <w:p w14:paraId="61E8EEEF" w14:textId="77777777" w:rsidR="00650A33" w:rsidRPr="00650A33" w:rsidRDefault="00650A33" w:rsidP="00650A33">
      <w:pPr>
        <w:pStyle w:val="F2-zkladn"/>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w:t>
      </w:r>
      <w:r w:rsidRPr="00D404D5">
        <w:rPr>
          <w:color w:val="000000"/>
          <w:lang w:eastAsia="en-US"/>
        </w:rPr>
        <w:lastRenderedPageBreak/>
        <w:t>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Fidelity (obsah třetích stran). Společnost Fidelity se nepodílela na </w:t>
      </w:r>
      <w:r>
        <w:lastRenderedPageBreak/>
        <w:t>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1010ED4C" w14:textId="3FF18BDC" w:rsidR="00D20058" w:rsidRDefault="00DF76B9" w:rsidP="00DF76B9">
      <w:pPr>
        <w:pStyle w:val="F2-zkladn"/>
      </w:pPr>
      <w:r w:rsidRPr="00DF76B9">
        <w:rPr>
          <w:lang w:val="de-AT"/>
        </w:rPr>
        <w:t>MKAT12495</w:t>
      </w: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25A85" w14:textId="77777777" w:rsidR="004278C3" w:rsidRDefault="004278C3">
      <w:r>
        <w:separator/>
      </w:r>
    </w:p>
  </w:endnote>
  <w:endnote w:type="continuationSeparator" w:id="0">
    <w:p w14:paraId="1A6689C8" w14:textId="77777777" w:rsidR="004278C3" w:rsidRDefault="00427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EFB0A" w14:textId="77777777" w:rsidR="004278C3" w:rsidRDefault="004278C3">
      <w:r>
        <w:separator/>
      </w:r>
    </w:p>
  </w:footnote>
  <w:footnote w:type="continuationSeparator" w:id="0">
    <w:p w14:paraId="00FE09AC" w14:textId="77777777" w:rsidR="004278C3" w:rsidRDefault="004278C3">
      <w:r>
        <w:continuationSeparator/>
      </w:r>
    </w:p>
  </w:footnote>
  <w:footnote w:type="continuationNotice" w:id="1">
    <w:p w14:paraId="3A8EE5C8" w14:textId="77777777" w:rsidR="004278C3" w:rsidRDefault="004278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6E4"/>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91210"/>
    <w:rsid w:val="00092137"/>
    <w:rsid w:val="000923E4"/>
    <w:rsid w:val="00093200"/>
    <w:rsid w:val="00093C6A"/>
    <w:rsid w:val="00093E98"/>
    <w:rsid w:val="000940D0"/>
    <w:rsid w:val="000A0176"/>
    <w:rsid w:val="000A06A7"/>
    <w:rsid w:val="000A2833"/>
    <w:rsid w:val="000A2D6F"/>
    <w:rsid w:val="000A3FFF"/>
    <w:rsid w:val="000A572D"/>
    <w:rsid w:val="000A5FDF"/>
    <w:rsid w:val="000A73CB"/>
    <w:rsid w:val="000A755E"/>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ED5"/>
    <w:rsid w:val="001A74F2"/>
    <w:rsid w:val="001A7D5A"/>
    <w:rsid w:val="001A7DE3"/>
    <w:rsid w:val="001B0302"/>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225"/>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9F1"/>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928"/>
    <w:rsid w:val="002C6682"/>
    <w:rsid w:val="002C7913"/>
    <w:rsid w:val="002D0CC4"/>
    <w:rsid w:val="002D0CD4"/>
    <w:rsid w:val="002D11C7"/>
    <w:rsid w:val="002D22C6"/>
    <w:rsid w:val="002D28A9"/>
    <w:rsid w:val="002D6A75"/>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6290"/>
    <w:rsid w:val="00670027"/>
    <w:rsid w:val="00671D22"/>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EE8"/>
    <w:rsid w:val="0069454C"/>
    <w:rsid w:val="00694CCF"/>
    <w:rsid w:val="00694D57"/>
    <w:rsid w:val="0069509B"/>
    <w:rsid w:val="00696362"/>
    <w:rsid w:val="0069790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AF1"/>
    <w:rsid w:val="006D7B5A"/>
    <w:rsid w:val="006E0925"/>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0A09"/>
    <w:rsid w:val="008014EC"/>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170"/>
    <w:rsid w:val="0095420F"/>
    <w:rsid w:val="00954CC0"/>
    <w:rsid w:val="00955C25"/>
    <w:rsid w:val="00956BB5"/>
    <w:rsid w:val="009572E5"/>
    <w:rsid w:val="00957676"/>
    <w:rsid w:val="009617E7"/>
    <w:rsid w:val="009621B2"/>
    <w:rsid w:val="00963A1A"/>
    <w:rsid w:val="00963E1E"/>
    <w:rsid w:val="00964590"/>
    <w:rsid w:val="0096654A"/>
    <w:rsid w:val="009677E3"/>
    <w:rsid w:val="00971187"/>
    <w:rsid w:val="00971196"/>
    <w:rsid w:val="009727AA"/>
    <w:rsid w:val="00973755"/>
    <w:rsid w:val="00976040"/>
    <w:rsid w:val="00980736"/>
    <w:rsid w:val="009807A1"/>
    <w:rsid w:val="00981704"/>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375B6"/>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AD4"/>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67B70"/>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7F62"/>
    <w:rsid w:val="00D10B90"/>
    <w:rsid w:val="00D113F1"/>
    <w:rsid w:val="00D118DA"/>
    <w:rsid w:val="00D12387"/>
    <w:rsid w:val="00D12577"/>
    <w:rsid w:val="00D13663"/>
    <w:rsid w:val="00D13E3F"/>
    <w:rsid w:val="00D149A1"/>
    <w:rsid w:val="00D14F2A"/>
    <w:rsid w:val="00D17B15"/>
    <w:rsid w:val="00D20058"/>
    <w:rsid w:val="00D20884"/>
    <w:rsid w:val="00D20D3E"/>
    <w:rsid w:val="00D22687"/>
    <w:rsid w:val="00D24EDB"/>
    <w:rsid w:val="00D251B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AA3"/>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3DFA"/>
    <w:rsid w:val="00E44250"/>
    <w:rsid w:val="00E45553"/>
    <w:rsid w:val="00E4639E"/>
    <w:rsid w:val="00E47E96"/>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1133</Words>
  <Characters>6688</Characters>
  <Application>Microsoft Office Word</Application>
  <DocSecurity>0</DocSecurity>
  <Lines>55</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7806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2024-09-18T12:13:00Z</dcterms:created>
  <dcterms:modified xsi:type="dcterms:W3CDTF">2024-09-18T12:13:00Z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